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4A" w:rsidRPr="00402B2B" w:rsidRDefault="006F2208" w:rsidP="006F2208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รายงานผลการประเมินและบริหารความเสี่ยงด้านการฟอกเงิน</w:t>
      </w:r>
    </w:p>
    <w:p w:rsidR="00FE104A" w:rsidRPr="00402B2B" w:rsidRDefault="006F2208" w:rsidP="006F2208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และการสนับสนุนทางการเงินแก่การก่อการร้ายและการแพร่ขยายอาวุธที่มีอานุภาพ</w:t>
      </w:r>
    </w:p>
    <w:p w:rsidR="006F2208" w:rsidRPr="00402B2B" w:rsidRDefault="006F2208" w:rsidP="006F2208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ทำลา</w:t>
      </w:r>
      <w:r w:rsidR="007C784D"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ยล้างสูงภายในองค์กร ประจำปี</w:t>
      </w:r>
      <w:r w:rsidR="007C784D"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7C784D"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</w:p>
    <w:p w:rsidR="00976273" w:rsidRPr="00402B2B" w:rsidRDefault="00FE104A" w:rsidP="00976273">
      <w:pPr>
        <w:spacing w:after="0" w:line="240" w:lineRule="auto"/>
        <w:ind w:firstLine="567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="007C784D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บริษัท</w:t>
      </w:r>
      <w:r w:rsidR="007C784D" w:rsidRPr="00402B2B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402B2B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402B2B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402B2B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402B2B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</w:p>
    <w:p w:rsidR="00976273" w:rsidRPr="00402B2B" w:rsidRDefault="00976273" w:rsidP="00976273">
      <w:pPr>
        <w:spacing w:after="0" w:line="240" w:lineRule="auto"/>
        <w:ind w:firstLine="567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976273" w:rsidRPr="00402B2B" w:rsidRDefault="00976273" w:rsidP="007F6F00">
      <w:pPr>
        <w:spacing w:after="0" w:line="221" w:lineRule="auto"/>
        <w:ind w:firstLine="851"/>
        <w:rPr>
          <w:rFonts w:ascii="TH SarabunPSK" w:eastAsia="Arial Unicode MS" w:hAnsi="TH SarabunPSK" w:cs="TH SarabunPSK"/>
          <w:sz w:val="32"/>
          <w:szCs w:val="32"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บริษัทดำเนินการประเมินและบริหารความเสี่ยงด้านการฟอกเงินและการสนับสนุนทางการเงิน</w:t>
      </w:r>
      <w:r w:rsidR="00FE104A" w:rsidRPr="00402B2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402B2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 โดยพิจารณาความเสี่ยง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จากหลักการ ดังนี้</w:t>
      </w:r>
    </w:p>
    <w:p w:rsidR="00976273" w:rsidRPr="00402B2B" w:rsidRDefault="00976273" w:rsidP="00976273">
      <w:pPr>
        <w:spacing w:after="0" w:line="240" w:lineRule="auto"/>
        <w:ind w:firstLine="567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</w:p>
    <w:p w:rsidR="00BE667A" w:rsidRPr="00402B2B" w:rsidRDefault="00BE667A" w:rsidP="007F6F00">
      <w:pPr>
        <w:pStyle w:val="ListParagraph"/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t>.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FB188C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</w:t>
      </w:r>
      <w:r w:rsidR="00471E79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ความเสี่ยงเกี่ยวกับลูกค้า</w:t>
      </w:r>
    </w:p>
    <w:p w:rsidR="006F2208" w:rsidRPr="00402B2B" w:rsidRDefault="006F2208" w:rsidP="007F6F00">
      <w:pPr>
        <w:pStyle w:val="ListParagraph"/>
        <w:tabs>
          <w:tab w:val="left" w:pos="284"/>
        </w:tabs>
        <w:spacing w:before="60" w:after="0" w:line="240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9E39EF" w:rsidRPr="00402B2B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ผลการประเมินความเสี่ยงด้าน </w:t>
      </w:r>
      <w:r w:rsidRPr="00402B2B">
        <w:rPr>
          <w:rFonts w:ascii="TH SarabunPSK" w:eastAsia="Arial Unicode MS" w:hAnsi="TH SarabunPSK" w:cs="TH SarabunPSK"/>
          <w:sz w:val="32"/>
          <w:szCs w:val="32"/>
        </w:rPr>
        <w:t>ML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Pr="00402B2B">
        <w:rPr>
          <w:rFonts w:ascii="TH SarabunPSK" w:eastAsia="Arial Unicode MS" w:hAnsi="TH SarabunPSK" w:cs="TH SarabunPSK"/>
          <w:sz w:val="32"/>
          <w:szCs w:val="32"/>
        </w:rPr>
        <w:t>TPF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 ของลูกค้า</w:t>
      </w:r>
      <w:r w:rsidR="00D632BD" w:rsidRPr="00402B2B">
        <w:rPr>
          <w:rFonts w:ascii="TH SarabunPSK" w:eastAsia="Arial Unicode MS" w:hAnsi="TH SarabunPSK" w:cs="TH SarabunPSK"/>
          <w:sz w:val="32"/>
          <w:szCs w:val="32"/>
          <w:cs/>
        </w:rPr>
        <w:t>ของ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บริษัท ดังนี้ </w:t>
      </w:r>
    </w:p>
    <w:p w:rsidR="00BE667A" w:rsidRPr="00402B2B" w:rsidRDefault="00BE667A" w:rsidP="006F2208">
      <w:pPr>
        <w:pStyle w:val="ListParagraph"/>
        <w:spacing w:after="0" w:line="240" w:lineRule="auto"/>
        <w:ind w:left="0" w:firstLine="993"/>
        <w:jc w:val="thaiDistribute"/>
        <w:rPr>
          <w:rFonts w:ascii="TH SarabunPSK" w:eastAsia="Arial Unicode MS" w:hAnsi="TH SarabunPSK" w:cs="TH SarabunPSK"/>
          <w:sz w:val="16"/>
          <w:szCs w:val="16"/>
          <w:cs/>
        </w:rPr>
      </w:pPr>
    </w:p>
    <w:tbl>
      <w:tblPr>
        <w:tblStyle w:val="TableGrid1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59"/>
        <w:gridCol w:w="1560"/>
        <w:gridCol w:w="1417"/>
      </w:tblGrid>
      <w:tr w:rsidR="007F6F00" w:rsidRPr="00402B2B" w:rsidTr="009E39EF">
        <w:trPr>
          <w:trHeight w:val="397"/>
          <w:jc w:val="center"/>
        </w:trPr>
        <w:tc>
          <w:tcPr>
            <w:tcW w:w="7083" w:type="dxa"/>
            <w:gridSpan w:val="4"/>
            <w:shd w:val="clear" w:color="auto" w:fill="D9D9D9" w:themeFill="background1" w:themeFillShade="D9"/>
            <w:vAlign w:val="center"/>
          </w:tcPr>
          <w:p w:rsidR="007F6F00" w:rsidRPr="00402B2B" w:rsidRDefault="007F6F00" w:rsidP="009E39EF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จำนวนลูกค้าของบริษัท</w:t>
            </w:r>
          </w:p>
          <w:p w:rsidR="007F6F00" w:rsidRPr="00402B2B" w:rsidRDefault="007F6F00" w:rsidP="009E39EF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 xml:space="preserve">แยกตามระดับความเสี่ยงด้าน </w:t>
            </w: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ML/TPF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สรุปผล</w:t>
            </w: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br/>
              <w:t>ความเสี่ยง</w:t>
            </w:r>
          </w:p>
        </w:tc>
      </w:tr>
      <w:tr w:rsidR="007F6F00" w:rsidRPr="00402B2B" w:rsidTr="007F6F00">
        <w:trPr>
          <w:trHeight w:val="695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F6F00" w:rsidRPr="00402B2B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จำนวนทั้งหมด (คน)</w:t>
            </w: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br/>
            </w:r>
            <w:r w:rsidRPr="00402B2B">
              <w:rPr>
                <w:rFonts w:ascii="TH SarabunPSK" w:eastAsia="Arial Unicode MS" w:hAnsi="TH SarabunPSK" w:cs="TH SarabunPSK"/>
                <w:b/>
                <w:bCs/>
                <w:sz w:val="24"/>
                <w:szCs w:val="24"/>
              </w:rPr>
              <w:t>(</w:t>
            </w:r>
            <w:r w:rsidRPr="00402B2B">
              <w:rPr>
                <w:rFonts w:ascii="TH SarabunPSK" w:eastAsia="Arial Unicode MS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  <w:r w:rsidRPr="00402B2B">
              <w:rPr>
                <w:rFonts w:ascii="TH SarabunPSK" w:eastAsia="Arial Unicode MS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F6F00" w:rsidRPr="00402B2B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F6F00" w:rsidRPr="00402B2B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F6F00" w:rsidRPr="00402B2B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7" w:type="dxa"/>
            <w:vMerge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</w:pPr>
          </w:p>
        </w:tc>
      </w:tr>
      <w:tr w:rsidR="007F6F00" w:rsidRPr="00402B2B" w:rsidTr="007F6F00">
        <w:trPr>
          <w:trHeight w:val="578"/>
          <w:jc w:val="center"/>
        </w:trPr>
        <w:tc>
          <w:tcPr>
            <w:tcW w:w="2405" w:type="dxa"/>
            <w:vAlign w:val="center"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  <w:t>30</w:t>
            </w:r>
          </w:p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(100%)</w:t>
            </w:r>
          </w:p>
        </w:tc>
        <w:tc>
          <w:tcPr>
            <w:tcW w:w="1559" w:type="dxa"/>
            <w:vAlign w:val="center"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</w:rPr>
              <w:t>0</w:t>
            </w:r>
          </w:p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</w:t>
            </w: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  <w:lang w:val="en-GB"/>
              </w:rPr>
              <w:t>0</w:t>
            </w: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%)</w:t>
            </w:r>
          </w:p>
        </w:tc>
        <w:tc>
          <w:tcPr>
            <w:tcW w:w="1559" w:type="dxa"/>
            <w:vAlign w:val="center"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  <w:t>5</w:t>
            </w:r>
          </w:p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</w:t>
            </w: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  <w:lang w:val="en-GB"/>
              </w:rPr>
              <w:t>16.67</w:t>
            </w: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%)</w:t>
            </w:r>
          </w:p>
        </w:tc>
        <w:tc>
          <w:tcPr>
            <w:tcW w:w="1560" w:type="dxa"/>
            <w:vAlign w:val="center"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  <w:t>25</w:t>
            </w:r>
          </w:p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</w:t>
            </w: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  <w:lang w:val="en-GB"/>
              </w:rPr>
              <w:t>83.33</w:t>
            </w: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%)</w:t>
            </w:r>
          </w:p>
        </w:tc>
        <w:tc>
          <w:tcPr>
            <w:tcW w:w="1417" w:type="dxa"/>
            <w:vAlign w:val="center"/>
          </w:tcPr>
          <w:p w:rsidR="007F6F00" w:rsidRPr="00402B2B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</w:rPr>
            </w:pPr>
            <w:r w:rsidRPr="00402B2B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</w:rPr>
              <w:t>ต่ำ</w:t>
            </w:r>
          </w:p>
        </w:tc>
      </w:tr>
    </w:tbl>
    <w:p w:rsidR="00BE667A" w:rsidRPr="00402B2B" w:rsidRDefault="00BE667A" w:rsidP="00BE667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  <w:cs/>
        </w:rPr>
      </w:pPr>
    </w:p>
    <w:p w:rsidR="000D197E" w:rsidRPr="00402B2B" w:rsidRDefault="006F2208" w:rsidP="009E39EF">
      <w:pPr>
        <w:pStyle w:val="ListParagraph"/>
        <w:tabs>
          <w:tab w:val="left" w:pos="993"/>
        </w:tabs>
        <w:spacing w:after="0" w:line="221" w:lineRule="auto"/>
        <w:ind w:left="0" w:firstLine="284"/>
        <w:rPr>
          <w:rFonts w:ascii="TH SarabunPSK" w:eastAsia="Arial Unicode MS" w:hAnsi="TH SarabunPSK" w:cs="TH SarabunPSK"/>
          <w:spacing w:val="-10"/>
          <w:sz w:val="28"/>
        </w:rPr>
      </w:pPr>
      <w:r w:rsidRPr="00402B2B">
        <w:rPr>
          <w:rFonts w:ascii="TH SarabunPSK" w:eastAsia="Arial Unicode MS" w:hAnsi="TH SarabunPSK" w:cs="TH SarabunPSK"/>
          <w:spacing w:val="-10"/>
          <w:sz w:val="28"/>
          <w:u w:val="single"/>
          <w:cs/>
        </w:rPr>
        <w:t>หมายเหตุ</w:t>
      </w:r>
      <w:r w:rsidRPr="00402B2B">
        <w:rPr>
          <w:rFonts w:ascii="TH SarabunPSK" w:eastAsia="Arial Unicode MS" w:hAnsi="TH SarabunPSK" w:cs="TH SarabunPSK"/>
          <w:spacing w:val="-10"/>
          <w:sz w:val="28"/>
          <w:cs/>
        </w:rPr>
        <w:t xml:space="preserve"> ความเสี่ยงเกี่ยวกับลูกค้า พิจารณาจากผลการประเมินความเสี่ยงของลูกค้าทั้งหมดของบริษัท ตามปัจจัยความเสี่ยง</w:t>
      </w:r>
    </w:p>
    <w:p w:rsidR="006F2208" w:rsidRPr="00402B2B" w:rsidRDefault="006F2208" w:rsidP="009E39EF">
      <w:pPr>
        <w:pStyle w:val="ListParagraph"/>
        <w:tabs>
          <w:tab w:val="left" w:pos="993"/>
        </w:tabs>
        <w:spacing w:after="0" w:line="221" w:lineRule="auto"/>
        <w:ind w:left="0" w:firstLine="284"/>
        <w:rPr>
          <w:rFonts w:ascii="TH SarabunPSK" w:eastAsia="Arial Unicode MS" w:hAnsi="TH SarabunPSK" w:cs="TH SarabunPSK"/>
          <w:spacing w:val="-10"/>
          <w:sz w:val="28"/>
          <w:cs/>
        </w:rPr>
      </w:pPr>
      <w:r w:rsidRPr="00402B2B">
        <w:rPr>
          <w:rFonts w:ascii="TH SarabunPSK" w:eastAsia="Arial Unicode MS" w:hAnsi="TH SarabunPSK" w:cs="TH SarabunPSK"/>
          <w:spacing w:val="-10"/>
          <w:sz w:val="28"/>
          <w:cs/>
        </w:rPr>
        <w:t xml:space="preserve">ที่กำหนดในประกาศสำนักงานป้องกันและปราบปรามการฟอกเงิน </w:t>
      </w:r>
    </w:p>
    <w:p w:rsidR="001F353D" w:rsidRPr="00402B2B" w:rsidRDefault="001F353D" w:rsidP="006F2208">
      <w:pPr>
        <w:pStyle w:val="ListParagraph"/>
        <w:tabs>
          <w:tab w:val="left" w:pos="993"/>
          <w:tab w:val="left" w:pos="1560"/>
        </w:tabs>
        <w:spacing w:after="0" w:line="221" w:lineRule="auto"/>
        <w:ind w:left="0" w:firstLine="1077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6F2208" w:rsidRPr="00402B2B" w:rsidRDefault="006F2208" w:rsidP="007F6F00">
      <w:pPr>
        <w:pStyle w:val="ListParagraph"/>
        <w:tabs>
          <w:tab w:val="left" w:pos="993"/>
          <w:tab w:val="left" w:pos="1560"/>
        </w:tabs>
        <w:spacing w:after="0" w:line="221" w:lineRule="auto"/>
        <w:ind w:left="0" w:firstLine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ผลการประเมินความเสี่ยงเกี่ยวกับลูกค้า</w:t>
      </w:r>
      <w:r w:rsidR="007111C2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ของบริษัท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402B2B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  <w:t>มีความ</w:t>
      </w:r>
      <w:r w:rsidRPr="00402B2B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เสี่ยง</w:t>
      </w:r>
      <w:r w:rsidR="00BD028B" w:rsidRPr="00402B2B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สูง/</w:t>
      </w:r>
      <w:r w:rsidR="00001709" w:rsidRPr="00402B2B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ปานกลาง</w:t>
      </w:r>
      <w:r w:rsidR="00BD028B" w:rsidRPr="00402B2B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/ต่ำ</w:t>
      </w:r>
    </w:p>
    <w:p w:rsidR="00BE667A" w:rsidRPr="00402B2B" w:rsidRDefault="00BE667A" w:rsidP="00BE667A">
      <w:pPr>
        <w:pStyle w:val="ListParagraph"/>
        <w:spacing w:after="0" w:line="240" w:lineRule="auto"/>
        <w:ind w:left="0" w:firstLine="1350"/>
        <w:jc w:val="thaiDistribute"/>
        <w:rPr>
          <w:rFonts w:ascii="TH SarabunPSK" w:eastAsia="Arial Unicode MS" w:hAnsi="TH SarabunPSK" w:cs="TH SarabunPSK"/>
          <w:sz w:val="16"/>
          <w:szCs w:val="16"/>
          <w:cs/>
        </w:rPr>
      </w:pPr>
    </w:p>
    <w:p w:rsidR="00BE667A" w:rsidRPr="00402B2B" w:rsidRDefault="00BE667A" w:rsidP="00641D0D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t>2.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FB188C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ความเสี่ยงเกี่ยวกับพื้นที่หรือประเทศ</w:t>
      </w:r>
    </w:p>
    <w:p w:rsidR="00F2308A" w:rsidRPr="00402B2B" w:rsidRDefault="00F2308A" w:rsidP="003226E6">
      <w:pPr>
        <w:spacing w:after="0" w:line="240" w:lineRule="auto"/>
        <w:ind w:right="-188" w:firstLine="720"/>
        <w:contextualSpacing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บริษัทฯ มีสถานประกอบการตั้งอยู่ในพื้นที่</w:t>
      </w:r>
      <w:r w:rsidRPr="00402B2B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 w:rsidR="007D78AC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3226E6" w:rsidRPr="00402B2B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="00BD028B" w:rsidRPr="00402B2B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 w:rsidRPr="00402B2B">
        <w:rPr>
          <w:rFonts w:ascii="TH SarabunPSK" w:hAnsi="TH SarabunPSK" w:cs="TH SarabunPSK"/>
          <w:sz w:val="32"/>
          <w:szCs w:val="32"/>
          <w:cs/>
          <w:lang w:val="en-GB"/>
        </w:rPr>
        <w:t>ซึ่งสถานประกอบการไม่ได้ตั้งอยู่ใน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พื้นที่ที่อยู่ภายใต้ประกาศสถานการณ์ฉุกเฉินตามกฎหมายว่าด้วยการบริหารราชการใน</w:t>
      </w:r>
      <w:r w:rsidRPr="00402B2B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สถานการณ์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ฉุกเฉิน </w:t>
      </w:r>
      <w:r w:rsidRPr="00402B2B">
        <w:rPr>
          <w:rFonts w:ascii="TH SarabunPSK" w:hAnsi="TH SarabunPSK" w:cs="TH SarabunPSK"/>
          <w:sz w:val="32"/>
          <w:szCs w:val="32"/>
          <w:cs/>
        </w:rPr>
        <w:t>จึงถือว่าบริษัทมี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ความเสี่ยงด้าน </w:t>
      </w:r>
      <w:r w:rsidRPr="00402B2B">
        <w:rPr>
          <w:rFonts w:ascii="TH SarabunPSK" w:eastAsia="Arial Unicode MS" w:hAnsi="TH SarabunPSK" w:cs="TH SarabunPSK"/>
          <w:sz w:val="32"/>
          <w:szCs w:val="32"/>
        </w:rPr>
        <w:t>ML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Pr="00402B2B">
        <w:rPr>
          <w:rFonts w:ascii="TH SarabunPSK" w:eastAsia="Arial Unicode MS" w:hAnsi="TH SarabunPSK" w:cs="TH SarabunPSK"/>
          <w:sz w:val="32"/>
          <w:szCs w:val="32"/>
        </w:rPr>
        <w:t>TPF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 เกี่ยวกับพื้นที่หรือประเทศ </w:t>
      </w:r>
      <w:r w:rsidRPr="00402B2B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อยู่ในระดับความเสี่ยงต่ำ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:rsidR="00641D0D" w:rsidRPr="00402B2B" w:rsidRDefault="00641D0D" w:rsidP="007F6F00">
      <w:pPr>
        <w:tabs>
          <w:tab w:val="left" w:pos="1560"/>
        </w:tabs>
        <w:spacing w:after="0" w:line="240" w:lineRule="auto"/>
        <w:ind w:firstLine="1008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</w:rPr>
      </w:pPr>
    </w:p>
    <w:p w:rsidR="00F2308A" w:rsidRPr="00402B2B" w:rsidRDefault="00F2308A" w:rsidP="00641D0D">
      <w:pPr>
        <w:tabs>
          <w:tab w:val="left" w:pos="1560"/>
        </w:tabs>
        <w:spacing w:after="0" w:line="240" w:lineRule="auto"/>
        <w:ind w:firstLine="284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</w:rPr>
      </w:pP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  <w:cs/>
        </w:rPr>
        <w:t>สรุป</w:t>
      </w: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ผลการประเมินความเสี่ยงเกี่ยวก</w:t>
      </w:r>
      <w:r w:rsidR="007111C2"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ับพื้นที่หรือประเทศของบริษัท</w:t>
      </w: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  <w:cs/>
        </w:rPr>
        <w:t>มีความเสี่ยงต่ำ</w:t>
      </w:r>
    </w:p>
    <w:p w:rsidR="00F2308A" w:rsidRPr="00402B2B" w:rsidRDefault="00F2308A" w:rsidP="00F2308A">
      <w:pPr>
        <w:tabs>
          <w:tab w:val="left" w:pos="1560"/>
        </w:tabs>
        <w:spacing w:after="0" w:line="240" w:lineRule="auto"/>
        <w:ind w:firstLine="1134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</w:t>
      </w:r>
    </w:p>
    <w:p w:rsidR="007F6F00" w:rsidRPr="00402B2B" w:rsidRDefault="007F6F00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br w:type="page"/>
      </w:r>
    </w:p>
    <w:p w:rsidR="00FB188C" w:rsidRPr="00402B2B" w:rsidRDefault="00BE667A" w:rsidP="009E39EF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3.</w:t>
      </w:r>
      <w:r w:rsidR="00B64E4F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FB188C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ความเสี่ยงเกี่ยวกับผลิตภัณฑ์ บริการ </w:t>
      </w:r>
      <w:r w:rsidR="00FB188C" w:rsidRPr="00402B2B">
        <w:rPr>
          <w:rFonts w:ascii="TH SarabunPSK" w:eastAsia="Arial Unicode MS" w:hAnsi="TH SarabunPSK" w:cs="TH SarabunPSK"/>
          <w:b/>
          <w:bCs/>
          <w:spacing w:val="-16"/>
          <w:sz w:val="32"/>
          <w:szCs w:val="32"/>
          <w:cs/>
        </w:rPr>
        <w:t>ลักษณะการทำธุรกรรม และช่องทางการให้บริการ</w:t>
      </w:r>
    </w:p>
    <w:p w:rsidR="00BE667A" w:rsidRPr="00402B2B" w:rsidRDefault="00BE667A" w:rsidP="009E39EF">
      <w:pPr>
        <w:pStyle w:val="ListParagraph"/>
        <w:spacing w:after="0" w:line="211" w:lineRule="auto"/>
        <w:ind w:left="0" w:firstLine="709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  <w:r w:rsidRPr="00402B2B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หลักเกณฑ์การพิจารณา</w:t>
      </w:r>
    </w:p>
    <w:p w:rsidR="009E39EF" w:rsidRPr="00402B2B" w:rsidRDefault="009E39EF" w:rsidP="009E39EF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BE667A" w:rsidRPr="00402B2B">
        <w:rPr>
          <w:rFonts w:ascii="TH SarabunPSK" w:eastAsia="Arial Unicode MS" w:hAnsi="TH SarabunPSK" w:cs="TH SarabunPSK"/>
          <w:sz w:val="32"/>
          <w:szCs w:val="32"/>
          <w:cs/>
        </w:rPr>
        <w:t>ในการประเมินความเสี่ยงเกี่ยวกับผลิตภัณฑ์และบริการ บริษัทนำหลักการพิจารณาตามแนวทาง</w:t>
      </w:r>
    </w:p>
    <w:p w:rsidR="00BE667A" w:rsidRPr="00402B2B" w:rsidRDefault="00BE667A" w:rsidP="009E39EF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ที่เลขาธิการกำหนด โดยนำปัจจัยเฉพาะที่เกี่ยวของกับผลิตภัณฑ์และบริการมาปรับใช้ ได้แก่</w:t>
      </w:r>
    </w:p>
    <w:p w:rsidR="00BE667A" w:rsidRPr="00402B2B" w:rsidRDefault="009E39EF" w:rsidP="009E39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b/>
          <w:bCs/>
          <w:sz w:val="32"/>
          <w:szCs w:val="32"/>
          <w:cs/>
        </w:rPr>
        <w:t>3.1</w:t>
      </w:r>
      <w:r w:rsidR="00BE667A" w:rsidRPr="00402B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667A" w:rsidRPr="00402B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ผลิตภัณฑ์หรือบริการที่สามารถให้ รับ หรือเปลี่ยนเป็นเงินสดได้ </w:t>
      </w:r>
      <w:r w:rsidR="00BE667A" w:rsidRPr="00402B2B">
        <w:rPr>
          <w:rFonts w:ascii="TH SarabunPSK" w:hAnsi="TH SarabunPSK" w:cs="TH SarabunPSK"/>
          <w:spacing w:val="-6"/>
          <w:sz w:val="32"/>
          <w:szCs w:val="32"/>
          <w:cs/>
        </w:rPr>
        <w:t>ซึ่งความเสี่ยงจะเพิ่มขึ้น</w:t>
      </w:r>
      <w:r w:rsidR="00BE667A" w:rsidRPr="00402B2B">
        <w:rPr>
          <w:rFonts w:ascii="TH SarabunPSK" w:hAnsi="TH SarabunPSK" w:cs="TH SarabunPSK"/>
          <w:sz w:val="32"/>
          <w:szCs w:val="32"/>
          <w:cs/>
        </w:rPr>
        <w:t>ตามจำนวนเงินสดที่ผลิตภัณฑ์หรือบริการนั้นสามารถรองรับได้</w:t>
      </w:r>
    </w:p>
    <w:p w:rsidR="00087204" w:rsidRPr="00402B2B" w:rsidRDefault="0019607D" w:rsidP="009E39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b/>
          <w:bCs/>
          <w:sz w:val="32"/>
          <w:szCs w:val="32"/>
        </w:rPr>
        <w:tab/>
      </w:r>
      <w:r w:rsidR="009E39EF" w:rsidRPr="00402B2B">
        <w:rPr>
          <w:rFonts w:ascii="TH SarabunPSK" w:hAnsi="TH SarabunPSK" w:cs="TH SarabunPSK"/>
          <w:b/>
          <w:bCs/>
          <w:sz w:val="32"/>
          <w:szCs w:val="32"/>
        </w:rPr>
        <w:t>3.2</w:t>
      </w:r>
      <w:r w:rsidR="00BE667A" w:rsidRPr="00402B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ผลิตภัณฑ์หรือบริการที่สามารถโอนหรือเปลี่ยนมือให้แก่บุคคลอื่นได้ </w:t>
      </w:r>
      <w:r w:rsidR="00BE667A" w:rsidRPr="00402B2B">
        <w:rPr>
          <w:rFonts w:ascii="TH SarabunPSK" w:hAnsi="TH SarabunPSK" w:cs="TH SarabunPSK"/>
          <w:sz w:val="32"/>
          <w:szCs w:val="32"/>
          <w:cs/>
        </w:rPr>
        <w:t>ซึ่งความเสี่ยง</w:t>
      </w:r>
    </w:p>
    <w:p w:rsidR="00BE667A" w:rsidRPr="00402B2B" w:rsidRDefault="00BE667A" w:rsidP="000872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sz w:val="32"/>
          <w:szCs w:val="32"/>
          <w:cs/>
        </w:rPr>
        <w:t>จะเพิ่มขึ้นตามมูลค่า ความถี่ ความรวดเร็ว หรือความสะดวก ในการโอนหรือเปลี่ยนมือ</w:t>
      </w:r>
      <w:r w:rsidRPr="00402B2B">
        <w:rPr>
          <w:rFonts w:ascii="TH SarabunPSK" w:hAnsi="TH SarabunPSK" w:cs="TH SarabunPSK"/>
          <w:sz w:val="32"/>
          <w:szCs w:val="32"/>
        </w:rPr>
        <w:t xml:space="preserve"> </w:t>
      </w:r>
    </w:p>
    <w:p w:rsidR="00087204" w:rsidRPr="00402B2B" w:rsidRDefault="00BE667A" w:rsidP="009E39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b/>
          <w:bCs/>
          <w:sz w:val="32"/>
          <w:szCs w:val="32"/>
        </w:rPr>
        <w:tab/>
      </w:r>
      <w:r w:rsidR="009E39EF" w:rsidRPr="00402B2B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402B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ผลิตภัณฑ์หรือบริการที่สามารถใช้หรือนำไปใช้ได้ในต่างประเทศ</w:t>
      </w:r>
      <w:r w:rsidRPr="00402B2B">
        <w:rPr>
          <w:rFonts w:ascii="TH SarabunPSK" w:hAnsi="TH SarabunPSK" w:cs="TH SarabunPSK"/>
          <w:sz w:val="32"/>
          <w:szCs w:val="32"/>
          <w:cs/>
        </w:rPr>
        <w:t xml:space="preserve"> ซึ่งความเสี่ยง</w:t>
      </w:r>
    </w:p>
    <w:p w:rsidR="00BE667A" w:rsidRPr="00402B2B" w:rsidRDefault="00BE667A" w:rsidP="000872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2B2B">
        <w:rPr>
          <w:rFonts w:ascii="TH SarabunPSK" w:hAnsi="TH SarabunPSK" w:cs="TH SarabunPSK"/>
          <w:sz w:val="32"/>
          <w:szCs w:val="32"/>
          <w:cs/>
        </w:rPr>
        <w:t>จะเพิ่มขึ้นหากผลิตภัณฑ์หรือบริการนั้นสามารถใช้ข้ามประเทศได้</w:t>
      </w:r>
      <w:r w:rsidRPr="00402B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E327A" w:rsidRPr="00402B2B" w:rsidRDefault="008E327A" w:rsidP="002666BD">
      <w:pPr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เมื่อประเมินความเสี่ยงจากลักษณะผลิตภัณฑ์หรือบริการข้างต้น จะต้องมาพิจารณาเพิ่มเติมว่าผลิตภัณฑ์หรือบริการที่ประเมินนั้น มีลักษณะอย่างหนึ่งอย่างใดสอดคล้องกับลักษณะผลิตภัณฑ์หรือบริการที่อาจมีความเสี่ยงสูง หรือความเสี่ยงต่ำ ตามประกาศสำนักงานป้องกันและปราบปรามการฟอกเงิน </w:t>
      </w:r>
      <w:r w:rsidRPr="00402B2B">
        <w:rPr>
          <w:rFonts w:ascii="TH SarabunPSK" w:hAnsi="TH SarabunPSK" w:cs="TH SarabunPSK"/>
          <w:spacing w:val="-8"/>
          <w:sz w:val="32"/>
          <w:szCs w:val="32"/>
          <w:cs/>
        </w:rPr>
        <w:t>เรื่อง แนวทางในการพิจารณาปัจจัยความเสี่ยงด้านการฟอกเงินหรือการสนับสนุนทางการเงินแก่การก่อการร้าย</w:t>
      </w:r>
      <w:r w:rsidRPr="00402B2B">
        <w:rPr>
          <w:rFonts w:ascii="TH SarabunPSK" w:hAnsi="TH SarabunPSK" w:cs="TH SarabunPSK"/>
          <w:sz w:val="32"/>
          <w:szCs w:val="32"/>
          <w:cs/>
        </w:rPr>
        <w:t xml:space="preserve"> หรือการแพร่ขยายอาวุธที่มีอานุภาพทำลายล้างสูงร่วมด้วย</w:t>
      </w:r>
    </w:p>
    <w:p w:rsidR="000E61B4" w:rsidRPr="00402B2B" w:rsidRDefault="000E61B4" w:rsidP="002666BD">
      <w:pPr>
        <w:pStyle w:val="ListParagraph"/>
        <w:spacing w:after="0" w:line="240" w:lineRule="auto"/>
        <w:ind w:left="0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402B2B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ผลการประเมินความเสี่ยงด้าน </w:t>
      </w:r>
      <w:r w:rsidRPr="00402B2B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</w:rPr>
        <w:t>ML</w:t>
      </w:r>
      <w:r w:rsidRPr="00402B2B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/</w:t>
      </w:r>
      <w:r w:rsidRPr="00402B2B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</w:rPr>
        <w:t>TPF</w:t>
      </w:r>
      <w:r w:rsidRPr="00402B2B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เกี่ยวกับผลิตภัณฑ์และบริการ ดังนี้ </w:t>
      </w:r>
    </w:p>
    <w:p w:rsidR="00BE667A" w:rsidRPr="00402B2B" w:rsidRDefault="00BE667A" w:rsidP="006D1146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  <w:r w:rsidRPr="00402B2B" w:rsidDel="00504D8B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tbl>
      <w:tblPr>
        <w:tblW w:w="10065" w:type="dxa"/>
        <w:tblInd w:w="-2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5"/>
        <w:gridCol w:w="1043"/>
        <w:gridCol w:w="1206"/>
        <w:gridCol w:w="1238"/>
        <w:gridCol w:w="687"/>
        <w:gridCol w:w="785"/>
        <w:gridCol w:w="1359"/>
        <w:gridCol w:w="1279"/>
        <w:gridCol w:w="993"/>
      </w:tblGrid>
      <w:tr w:rsidR="00BE667A" w:rsidRPr="00402B2B" w:rsidTr="00A86B04">
        <w:trPr>
          <w:trHeight w:val="567"/>
          <w:tblHeader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ind w:hanging="72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</w:p>
        </w:tc>
        <w:tc>
          <w:tcPr>
            <w:tcW w:w="3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5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ผลการ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ประเมิน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ความเสี่ยง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เบื้องต้น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ความสอดคล้องกับลักษณะของ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สรุป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ผลการ</w:t>
            </w:r>
          </w:p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ประเมิน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ความเสี่ยง</w:t>
            </w:r>
          </w:p>
        </w:tc>
      </w:tr>
      <w:tr w:rsidR="00BE667A" w:rsidRPr="00402B2B" w:rsidTr="00A86B04">
        <w:trPr>
          <w:trHeight w:val="1887"/>
          <w:tblHeader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402B2B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ที่สามารถให้ รับ หรือเปลี่ยนเป็นเงินสดได้</w:t>
            </w:r>
          </w:p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12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ที่สามารถโอนหรือ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เปลี่ยนมือให้แก่บุคคลอื่นได้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และ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spacing w:val="-8"/>
                <w:kern w:val="24"/>
                <w:sz w:val="24"/>
                <w:szCs w:val="24"/>
                <w:cs/>
              </w:rPr>
              <w:t>สะสมมูลค่าได้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ที่สามารถใช้หรือนำไปใช้ได้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spacing w:val="-10"/>
                <w:kern w:val="24"/>
                <w:sz w:val="24"/>
                <w:szCs w:val="24"/>
                <w:cs/>
              </w:rPr>
              <w:t>ในต่างประเทศ</w:t>
            </w:r>
          </w:p>
        </w:tc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402B2B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402B2B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*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C00000"/>
                <w:spacing w:val="-16"/>
                <w:kern w:val="24"/>
                <w:sz w:val="24"/>
                <w:szCs w:val="24"/>
                <w:cs/>
              </w:rPr>
              <w:t>ที่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C00000"/>
                <w:spacing w:val="-16"/>
                <w:kern w:val="24"/>
                <w:sz w:val="24"/>
                <w:szCs w:val="24"/>
                <w:u w:val="single"/>
                <w:cs/>
              </w:rPr>
              <w:t>อาจมีความเสี่ยงสูง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C00000"/>
                <w:kern w:val="24"/>
                <w:sz w:val="24"/>
                <w:szCs w:val="24"/>
                <w:cs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402B2B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*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6600"/>
                <w:kern w:val="24"/>
                <w:sz w:val="24"/>
                <w:szCs w:val="24"/>
                <w:u w:val="single"/>
                <w:cs/>
              </w:rPr>
              <w:t>ที่มีความเสี่ยงต่ำ</w:t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6600"/>
                <w:kern w:val="24"/>
                <w:sz w:val="24"/>
                <w:szCs w:val="24"/>
                <w:cs/>
              </w:rPr>
              <w:br/>
            </w:r>
            <w:r w:rsidRPr="00402B2B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402B2B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A86B04" w:rsidRPr="009A76D0" w:rsidTr="00A86B04">
        <w:trPr>
          <w:trHeight w:val="262"/>
        </w:trPr>
        <w:tc>
          <w:tcPr>
            <w:tcW w:w="100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86B04" w:rsidRPr="009A76D0" w:rsidRDefault="00A86B04" w:rsidP="00174C41">
            <w:pPr>
              <w:spacing w:after="0" w:line="256" w:lineRule="auto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A76D0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รถยนต์</w:t>
            </w:r>
          </w:p>
        </w:tc>
      </w:tr>
      <w:tr w:rsidR="00A86B04" w:rsidRPr="009A76D0" w:rsidTr="00A86B04">
        <w:trPr>
          <w:trHeight w:val="363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86B04" w:rsidRPr="009A76D0" w:rsidRDefault="00A86B04" w:rsidP="00174C41">
            <w:pPr>
              <w:spacing w:after="0" w:line="228" w:lineRule="auto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86B04" w:rsidRPr="00884DEC" w:rsidRDefault="00A86B04" w:rsidP="00174C4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1</w:t>
            </w:r>
          </w:p>
          <w:p w:rsidR="00A86B04" w:rsidRPr="00D751BD" w:rsidRDefault="00A86B04" w:rsidP="00174C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D751BD">
              <w:rPr>
                <w:rFonts w:ascii="TH SarabunPSK" w:eastAsia="Times New Roman" w:hAnsi="TH SarabunPSK" w:cs="TH SarabunPSK"/>
                <w:cs/>
              </w:rPr>
              <w:t>เนื่องจาก</w:t>
            </w:r>
          </w:p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751BD">
              <w:rPr>
                <w:rFonts w:ascii="TH SarabunPSK" w:hAnsi="TH SarabunPSK" w:cs="TH SarabunPSK"/>
                <w:cs/>
              </w:rPr>
              <w:t>ไม่รับชำระด้วยเงินสด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86B04" w:rsidRPr="00884DEC" w:rsidRDefault="00A86B04" w:rsidP="00174C4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2</w:t>
            </w:r>
          </w:p>
          <w:p w:rsidR="00A86B04" w:rsidRPr="00DB7042" w:rsidRDefault="00A86B04" w:rsidP="00174C4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เนื่องจาก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รถยนต์ทั่วไป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มีมูลค่า</w:t>
            </w: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ไม่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สูงสามารถโอนหรือเปลี่ยนมือให้แก่บุคคลอื่นได้ </w:t>
            </w:r>
          </w:p>
          <w:p w:rsidR="00A86B04" w:rsidRPr="00DB7042" w:rsidRDefault="00A86B04" w:rsidP="00174C41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B7042">
              <w:rPr>
                <w:rFonts w:ascii="TH SarabunPSK" w:hAnsi="TH SarabunPSK" w:cs="TH SarabunPSK" w:hint="cs"/>
                <w:sz w:val="22"/>
                <w:szCs w:val="22"/>
                <w:cs/>
              </w:rPr>
              <w:t>แต่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t>ต้องมี</w:t>
            </w:r>
            <w:r w:rsidRPr="00DB7042">
              <w:rPr>
                <w:rFonts w:ascii="TH SarabunPSK" w:hAnsi="TH SarabunPSK" w:cs="TH SarabunPSK"/>
                <w:sz w:val="22"/>
                <w:szCs w:val="22"/>
                <w:cs/>
              </w:rPr>
              <w:br/>
              <w:t>การจดทะเบียน</w:t>
            </w:r>
            <w:r w:rsidRPr="00DB7042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เพื่อโอนกรรมสิทธิ์</w:t>
            </w:r>
          </w:p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86B04" w:rsidRDefault="00A86B04" w:rsidP="00174C4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D3035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pacing w:val="-4"/>
                <w:cs/>
              </w:rPr>
              <w:br/>
              <w:t>ในต่างประเทศ</w:t>
            </w:r>
            <w:r w:rsidRPr="00AA682F">
              <w:rPr>
                <w:rFonts w:ascii="TH SarabunPSK" w:hAnsi="TH SarabunPSK" w:cs="TH SarabunPSK"/>
                <w:spacing w:val="-4"/>
                <w:cs/>
              </w:rPr>
              <w:t>ได้</w:t>
            </w:r>
          </w:p>
          <w:p w:rsidR="00A86B04" w:rsidRPr="00AA682F" w:rsidRDefault="00A86B04" w:rsidP="00174C4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A682F">
              <w:rPr>
                <w:rFonts w:ascii="TH SarabunPSK" w:hAnsi="TH SarabunPSK" w:cs="TH SarabunPSK"/>
                <w:cs/>
              </w:rPr>
              <w:t>แต่มีเงื่อนไขยุ่งยาก</w:t>
            </w:r>
          </w:p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A682F">
              <w:rPr>
                <w:rFonts w:ascii="TH SarabunPSK" w:hAnsi="TH SarabunPSK" w:cs="TH SarabunPSK"/>
                <w:cs/>
              </w:rPr>
              <w:t>ต้องปฏิบัติตามระเบียบและหลักเกณฑ์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AA682F">
              <w:rPr>
                <w:rFonts w:ascii="TH SarabunPSK" w:hAnsi="TH SarabunPSK" w:cs="TH SarabunPSK"/>
                <w:cs/>
              </w:rPr>
              <w:t xml:space="preserve">การส่งออก 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86B04" w:rsidRPr="009A76D0" w:rsidRDefault="00A86B04" w:rsidP="00174C41">
            <w:pPr>
              <w:spacing w:after="0" w:line="240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4011D">
              <w:rPr>
                <w:rFonts w:ascii="TH SarabunPSK" w:hAnsi="TH SarabunPSK" w:cs="TH SarabunPSK" w:hint="cs"/>
                <w:b/>
                <w:bCs/>
                <w:color w:val="00B050"/>
                <w:kern w:val="24"/>
                <w:sz w:val="28"/>
                <w:szCs w:val="28"/>
                <w:cs/>
              </w:rPr>
              <w:t>ต่ำ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97" w:type="dxa"/>
              <w:bottom w:w="0" w:type="dxa"/>
              <w:right w:w="57" w:type="dxa"/>
            </w:tcMar>
            <w:hideMark/>
          </w:tcPr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kern w:val="24"/>
                <w:sz w:val="28"/>
                <w:szCs w:val="28"/>
                <w:cs/>
              </w:rPr>
              <w:t>ไม่</w:t>
            </w:r>
            <w:r w:rsidRPr="003C5D6E">
              <w:rPr>
                <w:rFonts w:ascii="TH SarabunPSK" w:hAnsi="TH SarabunPSK" w:cs="TH SarabunPSK"/>
                <w:b/>
                <w:bCs/>
                <w:color w:val="C00000"/>
                <w:kern w:val="24"/>
                <w:sz w:val="28"/>
                <w:szCs w:val="28"/>
                <w:cs/>
              </w:rPr>
              <w:t>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B7042">
              <w:rPr>
                <w:rFonts w:ascii="TH SarabunPSK" w:hAnsi="TH SarabunPSK" w:cs="TH SarabunPSK"/>
                <w:cs/>
              </w:rPr>
              <w:t>เนื่องจากสามารถใช้</w:t>
            </w:r>
            <w:r w:rsidRPr="00DB7042">
              <w:rPr>
                <w:rFonts w:ascii="TH SarabunPSK" w:hAnsi="TH SarabunPSK" w:cs="TH SarabunPSK"/>
                <w:cs/>
              </w:rPr>
              <w:br/>
              <w:t>เงินสดในการทำธุรกรรม</w:t>
            </w:r>
            <w:r w:rsidRPr="00DB7042">
              <w:rPr>
                <w:rFonts w:ascii="TH SarabunPSK" w:hAnsi="TH SarabunPSK" w:cs="TH SarabunPSK"/>
                <w:cs/>
              </w:rPr>
              <w:br/>
            </w:r>
            <w:r w:rsidRPr="00DB7042">
              <w:rPr>
                <w:rFonts w:ascii="TH SarabunPSK" w:hAnsi="TH SarabunPSK" w:cs="TH SarabunPSK"/>
                <w:u w:val="single"/>
                <w:cs/>
              </w:rPr>
              <w:t>ได้</w:t>
            </w:r>
            <w:r w:rsidRPr="00DB7042">
              <w:rPr>
                <w:rFonts w:ascii="TH SarabunPSK" w:hAnsi="TH SarabunPSK" w:cs="TH SarabunPSK" w:hint="cs"/>
                <w:u w:val="single"/>
                <w:cs/>
              </w:rPr>
              <w:t>ไม่</w:t>
            </w:r>
            <w:r w:rsidRPr="00DB7042">
              <w:rPr>
                <w:rFonts w:ascii="TH SarabunPSK" w:hAnsi="TH SarabunPSK" w:cs="TH SarabunPSK"/>
                <w:u w:val="single"/>
                <w:cs/>
              </w:rPr>
              <w:t>เกิน</w:t>
            </w:r>
            <w:r w:rsidRPr="00DB7042">
              <w:rPr>
                <w:rFonts w:ascii="TH SarabunPSK" w:hAnsi="TH SarabunPSK" w:cs="TH SarabunPSK"/>
                <w:cs/>
              </w:rPr>
              <w:t xml:space="preserve"> </w:t>
            </w:r>
            <w:r w:rsidRPr="00DB7042">
              <w:rPr>
                <w:rFonts w:ascii="TH SarabunPSK" w:hAnsi="TH SarabunPSK" w:cs="TH SarabunPSK"/>
              </w:rPr>
              <w:t xml:space="preserve">2,000,000 </w:t>
            </w:r>
            <w:r w:rsidRPr="00DB7042">
              <w:rPr>
                <w:rFonts w:ascii="TH SarabunPSK" w:hAnsi="TH SarabunPSK" w:cs="TH SarabunPSK" w:hint="cs"/>
                <w:cs/>
              </w:rPr>
              <w:t>บาท</w:t>
            </w:r>
            <w:r w:rsidRPr="00DB7042">
              <w:rPr>
                <w:rFonts w:ascii="TH SarabunPSK" w:hAnsi="TH SarabunPSK" w:cs="TH SarabunPSK"/>
              </w:rPr>
              <w:br/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97" w:type="dxa"/>
              <w:bottom w:w="0" w:type="dxa"/>
              <w:right w:w="57" w:type="dxa"/>
            </w:tcMar>
            <w:hideMark/>
          </w:tcPr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ไม่สอดคล้อง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DB7042">
              <w:rPr>
                <w:rFonts w:ascii="TH SarabunPSK" w:hAnsi="TH SarabunPSK" w:cs="TH SarabunPSK"/>
                <w:cs/>
              </w:rPr>
              <w:t>เนื่องจากมูลค่าการทำธุรกรรม</w:t>
            </w:r>
            <w:r w:rsidRPr="00DB7042">
              <w:rPr>
                <w:rFonts w:ascii="TH SarabunPSK" w:hAnsi="TH SarabunPSK" w:cs="TH SarabunPSK"/>
                <w:cs/>
              </w:rPr>
              <w:br/>
              <w:t xml:space="preserve">เกินกว่า </w:t>
            </w:r>
            <w:r w:rsidRPr="00DB7042">
              <w:rPr>
                <w:rFonts w:ascii="TH SarabunPSK" w:hAnsi="TH SarabunPSK" w:cs="TH SarabunPSK"/>
              </w:rPr>
              <w:t xml:space="preserve">50,000 </w:t>
            </w:r>
            <w:r w:rsidRPr="00DB7042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86B04" w:rsidRPr="009A76D0" w:rsidRDefault="00A86B04" w:rsidP="00174C41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C5D6E">
              <w:rPr>
                <w:rFonts w:ascii="TH SarabunPSK" w:hAnsi="TH SarabunPSK" w:cs="TH SarabunPSK"/>
                <w:b/>
                <w:bCs/>
                <w:color w:val="BF8F00" w:themeColor="accent4" w:themeShade="BF"/>
                <w:kern w:val="24"/>
                <w:sz w:val="28"/>
                <w:szCs w:val="28"/>
                <w:cs/>
              </w:rPr>
              <w:t>กลาง</w:t>
            </w:r>
          </w:p>
        </w:tc>
      </w:tr>
    </w:tbl>
    <w:p w:rsidR="004534EA" w:rsidRPr="00402B2B" w:rsidRDefault="00BE667A" w:rsidP="00BE667A">
      <w:pPr>
        <w:pStyle w:val="ListParagraph"/>
        <w:spacing w:before="120" w:line="221" w:lineRule="auto"/>
        <w:ind w:left="0"/>
        <w:rPr>
          <w:rFonts w:ascii="TH SarabunPSK" w:eastAsia="Arial Unicode MS" w:hAnsi="TH SarabunPSK" w:cs="TH SarabunPSK"/>
          <w:sz w:val="28"/>
        </w:rPr>
      </w:pPr>
      <w:r w:rsidRPr="00402B2B">
        <w:rPr>
          <w:rFonts w:ascii="TH SarabunPSK" w:eastAsia="Arial Unicode MS" w:hAnsi="TH SarabunPSK" w:cs="TH SarabunPSK"/>
          <w:sz w:val="28"/>
        </w:rPr>
        <w:t>*</w:t>
      </w:r>
      <w:r w:rsidRPr="00402B2B">
        <w:rPr>
          <w:rFonts w:ascii="TH SarabunPSK" w:eastAsia="Arial Unicode MS" w:hAnsi="TH SarabunPSK" w:cs="TH SarabunPSK"/>
          <w:sz w:val="28"/>
          <w:cs/>
        </w:rPr>
        <w:t>ตามประกาศสำนักงาน ปปง. เรื่อง แนวทางในการพิจารณาปัจจัยความเสี่ยงด้านการฟอกเงิน หรือการสนับสนุน</w:t>
      </w:r>
    </w:p>
    <w:p w:rsidR="00BE667A" w:rsidRPr="00402B2B" w:rsidRDefault="00BE667A" w:rsidP="00BE667A">
      <w:pPr>
        <w:pStyle w:val="ListParagraph"/>
        <w:spacing w:before="120" w:line="221" w:lineRule="auto"/>
        <w:ind w:left="0"/>
        <w:rPr>
          <w:rFonts w:ascii="TH SarabunPSK" w:eastAsia="Arial Unicode MS" w:hAnsi="TH SarabunPSK" w:cs="TH SarabunPSK"/>
          <w:sz w:val="28"/>
          <w:lang w:val="en-GB"/>
        </w:rPr>
      </w:pPr>
      <w:r w:rsidRPr="00402B2B">
        <w:rPr>
          <w:rFonts w:ascii="TH SarabunPSK" w:eastAsia="Arial Unicode MS" w:hAnsi="TH SarabunPSK" w:cs="TH SarabunPSK"/>
          <w:sz w:val="28"/>
          <w:cs/>
        </w:rPr>
        <w:t>ทางการเงินแก่การก่อการร้ายหรือการแพร่ขยายอาวุธที่มีอานุภาพทำลายล้างสูง</w:t>
      </w:r>
    </w:p>
    <w:p w:rsidR="00BA0FD4" w:rsidRPr="00402B2B" w:rsidRDefault="00BA0FD4" w:rsidP="004534EA">
      <w:pPr>
        <w:pStyle w:val="ListParagraph"/>
        <w:spacing w:before="240" w:after="0" w:line="240" w:lineRule="auto"/>
        <w:ind w:left="0" w:firstLine="284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</w:p>
    <w:p w:rsidR="00BE667A" w:rsidRPr="00402B2B" w:rsidRDefault="00305B41" w:rsidP="00BA0FD4">
      <w:pPr>
        <w:pStyle w:val="ListParagraph"/>
        <w:spacing w:before="240" w:after="0" w:line="240" w:lineRule="auto"/>
        <w:ind w:left="0" w:right="-472" w:firstLine="284"/>
        <w:rPr>
          <w:rFonts w:ascii="TH SarabunPSK" w:eastAsia="Arial Unicode MS" w:hAnsi="TH SarabunPSK" w:cs="TH SarabunPSK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ผลการประเมินความเสี่ยงเกี่ย</w:t>
      </w:r>
      <w:r w:rsidR="007111C2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วกับผลิตภัณฑ์และบริการของบริษัท 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มีความเสี่ยง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ปานกลาง</w:t>
      </w:r>
    </w:p>
    <w:p w:rsidR="00B119FE" w:rsidRPr="00402B2B" w:rsidRDefault="00B119FE" w:rsidP="00B119FE">
      <w:pPr>
        <w:pStyle w:val="ListParagraph"/>
        <w:tabs>
          <w:tab w:val="left" w:pos="993"/>
        </w:tabs>
        <w:spacing w:before="240"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pacing w:val="-16"/>
          <w:sz w:val="32"/>
          <w:szCs w:val="32"/>
        </w:rPr>
      </w:pPr>
    </w:p>
    <w:p w:rsidR="00BE667A" w:rsidRPr="00402B2B" w:rsidRDefault="0019607D" w:rsidP="00BA0FD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4. </w:t>
      </w:r>
      <w:r w:rsidR="00BE667A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ปัจจัยความเสี่ยงเกี่ยวกับช่องทางการให้บริการ</w:t>
      </w:r>
    </w:p>
    <w:p w:rsidR="00BE667A" w:rsidRPr="00402B2B" w:rsidRDefault="00F411D0" w:rsidP="00BA0FD4">
      <w:pPr>
        <w:pStyle w:val="ListParagraph"/>
        <w:spacing w:after="0" w:line="240" w:lineRule="auto"/>
        <w:ind w:left="0" w:firstLine="709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ผลการประเมินความเสี่ยงด้าน </w:t>
      </w:r>
      <w:r w:rsidRPr="00402B2B">
        <w:rPr>
          <w:rFonts w:ascii="TH SarabunPSK" w:eastAsia="Arial Unicode MS" w:hAnsi="TH SarabunPSK" w:cs="TH SarabunPSK"/>
          <w:sz w:val="32"/>
          <w:szCs w:val="32"/>
        </w:rPr>
        <w:t>ML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Pr="00402B2B">
        <w:rPr>
          <w:rFonts w:ascii="TH SarabunPSK" w:eastAsia="Arial Unicode MS" w:hAnsi="TH SarabunPSK" w:cs="TH SarabunPSK"/>
          <w:sz w:val="32"/>
          <w:szCs w:val="32"/>
        </w:rPr>
        <w:t>TPF</w:t>
      </w: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 xml:space="preserve"> เกี่ยวกับช่องทางบริการ ดังนี้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835"/>
      </w:tblGrid>
      <w:tr w:rsidR="00BE667A" w:rsidRPr="00402B2B" w:rsidTr="00146FC7">
        <w:trPr>
          <w:trHeight w:val="350"/>
          <w:jc w:val="center"/>
        </w:trPr>
        <w:tc>
          <w:tcPr>
            <w:tcW w:w="6658" w:type="dxa"/>
            <w:vMerge w:val="restart"/>
            <w:shd w:val="clear" w:color="auto" w:fill="D9D9D9" w:themeFill="background1" w:themeFillShade="D9"/>
            <w:vAlign w:val="center"/>
          </w:tcPr>
          <w:p w:rsidR="00BE667A" w:rsidRPr="00402B2B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ช่องทางบริการ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BE667A" w:rsidRPr="00402B2B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ผลการประเมิน/ระดับ</w:t>
            </w:r>
          </w:p>
          <w:p w:rsidR="00BE667A" w:rsidRPr="00402B2B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BE667A" w:rsidRPr="00402B2B" w:rsidTr="00146FC7">
        <w:trPr>
          <w:trHeight w:val="415"/>
          <w:jc w:val="center"/>
        </w:trPr>
        <w:tc>
          <w:tcPr>
            <w:tcW w:w="6658" w:type="dxa"/>
            <w:vMerge/>
            <w:shd w:val="clear" w:color="auto" w:fill="D9D9D9" w:themeFill="background1" w:themeFillShade="D9"/>
          </w:tcPr>
          <w:p w:rsidR="00BE667A" w:rsidRPr="00402B2B" w:rsidRDefault="00BE667A" w:rsidP="00146F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BE667A" w:rsidRPr="00402B2B" w:rsidRDefault="00BE667A" w:rsidP="00146F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E667A" w:rsidRPr="00402B2B" w:rsidTr="00146FC7">
        <w:trPr>
          <w:trHeight w:val="651"/>
          <w:jc w:val="center"/>
        </w:trPr>
        <w:tc>
          <w:tcPr>
            <w:tcW w:w="6658" w:type="dxa"/>
            <w:vAlign w:val="center"/>
          </w:tcPr>
          <w:p w:rsidR="00BE667A" w:rsidRPr="00402B2B" w:rsidRDefault="00BE667A" w:rsidP="00146FC7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02B2B">
              <w:rPr>
                <w:rFonts w:ascii="TH SarabunPSK" w:hAnsi="TH SarabunPSK" w:cs="TH SarabunPSK"/>
                <w:sz w:val="28"/>
                <w:szCs w:val="28"/>
                <w:cs/>
              </w:rPr>
              <w:t>แบบพบหน้า (การให้บริการแบบพบหน้าผ่านตัวแทนหรือนายหน้า ณ สถานที่ต่าง ๆ)</w:t>
            </w:r>
          </w:p>
        </w:tc>
        <w:tc>
          <w:tcPr>
            <w:tcW w:w="2835" w:type="dxa"/>
            <w:vAlign w:val="center"/>
          </w:tcPr>
          <w:p w:rsidR="00BE667A" w:rsidRPr="00402B2B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ต่ำ</w:t>
            </w:r>
          </w:p>
        </w:tc>
      </w:tr>
    </w:tbl>
    <w:p w:rsidR="00A11806" w:rsidRPr="00402B2B" w:rsidRDefault="00A11806" w:rsidP="00A11806">
      <w:pPr>
        <w:spacing w:after="0" w:line="21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</w:p>
    <w:p w:rsidR="00F06935" w:rsidRDefault="00616219" w:rsidP="00A86B04">
      <w:pPr>
        <w:spacing w:after="0" w:line="21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="007111C2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ผลการประเมินความเสี่ยงเกี่ยวกับช่องทางการให้บริการของบริษัท มีความ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เสี่ยงต่ำ</w:t>
      </w:r>
    </w:p>
    <w:p w:rsidR="00A86B04" w:rsidRPr="00A86B04" w:rsidRDefault="00A86B04" w:rsidP="00A86B04">
      <w:pPr>
        <w:spacing w:after="0" w:line="21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</w:p>
    <w:p w:rsidR="00F06935" w:rsidRPr="00402B2B" w:rsidRDefault="00F06935" w:rsidP="00A11806">
      <w:pPr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402B2B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ab/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ทั้งนี้ บริษัทฯ มีการกำหนดมาตรการในการบรรเทาความเสี่ยงที่เกี่ยวกับผลิตภัณฑ์ บริการ และช่องทางการให้บริการ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ดังนี้ </w:t>
      </w:r>
    </w:p>
    <w:p w:rsidR="00F06935" w:rsidRPr="00402B2B" w:rsidRDefault="00F06935" w:rsidP="00A11806">
      <w:pPr>
        <w:tabs>
          <w:tab w:val="left" w:pos="993"/>
        </w:tabs>
        <w:spacing w:after="0" w:line="240" w:lineRule="auto"/>
        <w:ind w:firstLine="709"/>
        <w:rPr>
          <w:rFonts w:ascii="TH SarabunPSK" w:eastAsia="Arial Unicode MS" w:hAnsi="TH SarabunPSK" w:cs="TH SarabunPSK"/>
          <w:sz w:val="32"/>
          <w:szCs w:val="32"/>
        </w:rPr>
      </w:pPr>
      <w:r w:rsidRPr="00402B2B">
        <w:rPr>
          <w:rFonts w:ascii="TH SarabunPSK" w:eastAsia="Arial Unicode MS" w:hAnsi="TH SarabunPSK" w:cs="TH SarabunPSK"/>
          <w:sz w:val="32"/>
          <w:szCs w:val="32"/>
          <w:cs/>
        </w:rPr>
        <w:t>1. มีการจำกัดวงเงินในการทำธุรกรรมสำหรับลูกค้าที่ทำธุรกรรมเป็นครั้งคราว ไม่เกิน 5 แสนบาทต่อครั้ง/ต่อวัน</w:t>
      </w:r>
    </w:p>
    <w:p w:rsidR="00A86B04" w:rsidRPr="004627E2" w:rsidRDefault="00A86B04" w:rsidP="00A86B04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>2. ไม่รับชำระด้วยเงินสด โดยให้ลูกค้าโอนเงินผ่านบัญชีธนาคารหรือผ่านบัตรอิเล็กทรอนิกส์เท่านั้น</w:t>
      </w:r>
    </w:p>
    <w:p w:rsidR="00A86B04" w:rsidRPr="004627E2" w:rsidRDefault="00A86B04" w:rsidP="00A86B04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627E2">
        <w:rPr>
          <w:rFonts w:ascii="TH SarabunPSK" w:eastAsia="Arial Unicode MS" w:hAnsi="TH SarabunPSK" w:cs="TH SarabunPSK"/>
          <w:sz w:val="32"/>
          <w:szCs w:val="32"/>
        </w:rPr>
        <w:t xml:space="preserve">3. </w:t>
      </w:r>
      <w:r w:rsidRPr="004627E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ให้บริการแบบพบหน้าเท่านั้น แม้ว่าจะมีการติดต่อซื้อ – ขายรถยนต์ ผ่านช่องทางออนไลน์ </w:t>
      </w:r>
      <w:r w:rsidRPr="004627E2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</w:t>
      </w:r>
      <w:r w:rsidRPr="004627E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</w:t>
      </w:r>
      <w:r w:rsidRPr="004627E2">
        <w:rPr>
          <w:rFonts w:ascii="TH SarabunPSK" w:eastAsia="Arial Unicode MS" w:hAnsi="TH SarabunPSK" w:cs="TH SarabunPSK"/>
          <w:sz w:val="32"/>
          <w:szCs w:val="32"/>
          <w:cs/>
        </w:rPr>
        <w:t>ต้องมาแสดงตนหรือระบุตัวตนกับพนักงานของบริษัทฯ ก่อนที่จะอนุมัติรับทำธุรกรรมกับลูกค้าทุกครั้ง</w:t>
      </w:r>
    </w:p>
    <w:p w:rsidR="008C3FFB" w:rsidRPr="00402B2B" w:rsidRDefault="008C3FFB" w:rsidP="00A86B04">
      <w:pPr>
        <w:tabs>
          <w:tab w:val="left" w:pos="993"/>
        </w:tabs>
        <w:spacing w:after="0" w:line="240" w:lineRule="auto"/>
        <w:ind w:firstLine="709"/>
        <w:rPr>
          <w:rFonts w:ascii="TH SarabunPSK" w:eastAsia="Arial Unicode MS" w:hAnsi="TH SarabunPSK" w:cs="TH SarabunPSK"/>
          <w:sz w:val="32"/>
          <w:szCs w:val="32"/>
        </w:rPr>
      </w:pPr>
    </w:p>
    <w:p w:rsidR="00BE667A" w:rsidRPr="00402B2B" w:rsidRDefault="0019607D" w:rsidP="00A11806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5</w:t>
      </w:r>
      <w:r w:rsidR="00BE667A"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. </w:t>
      </w:r>
      <w:r w:rsidR="00BE667A"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การสนับสนุนทางการเงินแก่การก่อการร้ายระดับชาติ (</w:t>
      </w:r>
      <w:r w:rsidR="00BE667A" w:rsidRPr="00402B2B">
        <w:rPr>
          <w:rFonts w:ascii="TH SarabunPSK" w:eastAsia="Arial Unicode MS" w:hAnsi="TH SarabunPSK" w:cs="TH SarabunPSK"/>
          <w:b/>
          <w:bCs/>
          <w:sz w:val="32"/>
          <w:szCs w:val="32"/>
        </w:rPr>
        <w:t>National Risk Assessment: NRA)</w:t>
      </w:r>
    </w:p>
    <w:p w:rsidR="00A86B04" w:rsidRPr="00B13305" w:rsidRDefault="00A86B04" w:rsidP="00A86B04">
      <w:pPr>
        <w:tabs>
          <w:tab w:val="left" w:pos="1276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13305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จากผลการประเมินความเสี่ยงด้านการฟอกเงินและการสนับสนุนทางการเงินแก่การก่อการร้ายและการแพร่ขยาย</w:t>
      </w:r>
      <w:r w:rsidRPr="00B13305">
        <w:rPr>
          <w:rFonts w:ascii="TH SarabunPSK" w:eastAsia="Arial Unicode MS" w:hAnsi="TH SarabunPSK" w:cs="TH SarabunPSK"/>
          <w:sz w:val="32"/>
          <w:szCs w:val="32"/>
          <w:cs/>
        </w:rPr>
        <w:t xml:space="preserve">อาวุธที่มีอานุภาพทำลายล้างสูงของประเทศไทย ปี </w:t>
      </w:r>
      <w:r w:rsidRPr="00B13305">
        <w:rPr>
          <w:rFonts w:ascii="TH SarabunPSK" w:eastAsia="Arial Unicode MS" w:hAnsi="TH SarabunPSK" w:cs="TH SarabunPSK"/>
          <w:sz w:val="32"/>
          <w:szCs w:val="32"/>
        </w:rPr>
        <w:t>2565</w:t>
      </w:r>
      <w:r w:rsidRPr="00B13305">
        <w:rPr>
          <w:rFonts w:ascii="TH SarabunPSK" w:eastAsia="Arial Unicode MS" w:hAnsi="TH SarabunPSK" w:cs="TH SarabunPSK"/>
          <w:sz w:val="32"/>
          <w:szCs w:val="32"/>
          <w:cs/>
        </w:rPr>
        <w:t xml:space="preserve"> พบว่า </w:t>
      </w:r>
    </w:p>
    <w:p w:rsidR="00A86B04" w:rsidRPr="00A86B04" w:rsidRDefault="00A86B04" w:rsidP="00A86B04">
      <w:pPr>
        <w:spacing w:after="0" w:line="240" w:lineRule="auto"/>
        <w:ind w:firstLine="1276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86B04">
        <w:rPr>
          <w:rFonts w:ascii="TH SarabunPSK" w:eastAsia="Arial Unicode MS" w:hAnsi="TH SarabunPSK" w:cs="TH SarabunPSK"/>
          <w:b/>
          <w:bCs/>
          <w:spacing w:val="-10"/>
          <w:sz w:val="32"/>
          <w:szCs w:val="32"/>
        </w:rPr>
        <w:t xml:space="preserve">5.1 </w:t>
      </w:r>
      <w:r w:rsidRPr="00A86B04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ความเสี่ยงด้านการฟอกเงิน</w:t>
      </w:r>
      <w:r w:rsidRPr="00A86B04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  <w:r w:rsidRPr="00A86B04">
        <w:rPr>
          <w:rFonts w:ascii="TH SarabunPSK" w:hAnsi="TH SarabunPSK" w:cs="TH SarabunPSK"/>
          <w:spacing w:val="-10"/>
          <w:sz w:val="32"/>
          <w:szCs w:val="32"/>
          <w:cs/>
        </w:rPr>
        <w:t>ธุรกิจค้ารถยนต์ ถูกใช้เป็นช่องทางในการฟอกเงินใน</w:t>
      </w:r>
      <w:r w:rsidRPr="00A86B0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ระดับปานกลาง</w:t>
      </w:r>
    </w:p>
    <w:p w:rsidR="00A86B04" w:rsidRPr="00B13305" w:rsidRDefault="00A86B04" w:rsidP="00A86B04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A86B04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5.2 </w:t>
      </w:r>
      <w:r w:rsidRPr="00A86B04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ความเสี่ยงด้านการสนับสนุนทางการเงินแก่การก่อการร้าย</w:t>
      </w:r>
      <w:r w:rsidRPr="00A86B04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  <w:r w:rsidRPr="00A86B04">
        <w:rPr>
          <w:rFonts w:ascii="TH SarabunPSK" w:hAnsi="TH SarabunPSK" w:cs="TH SarabunPSK"/>
          <w:spacing w:val="-10"/>
          <w:sz w:val="32"/>
          <w:szCs w:val="32"/>
          <w:cs/>
        </w:rPr>
        <w:t>ธุรกิจค้ารถยนต์ ถูกใช้</w:t>
      </w:r>
      <w:r w:rsidRPr="00A86B04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เป็นช่องทาง</w:t>
      </w:r>
      <w:r w:rsidRPr="00B13305">
        <w:rPr>
          <w:rFonts w:ascii="TH SarabunPSK" w:eastAsia="Arial Unicode MS" w:hAnsi="TH SarabunPSK" w:cs="TH SarabunPSK"/>
          <w:sz w:val="32"/>
          <w:szCs w:val="32"/>
          <w:cs/>
        </w:rPr>
        <w:t xml:space="preserve">ในการสนับสนุนทางการเงินแก่การก่อการร้าย </w:t>
      </w:r>
      <w:r w:rsidRPr="00B13305">
        <w:rPr>
          <w:rFonts w:ascii="TH SarabunPSK" w:hAnsi="TH SarabunPSK" w:cs="TH SarabunPSK"/>
          <w:sz w:val="32"/>
          <w:szCs w:val="32"/>
          <w:cs/>
        </w:rPr>
        <w:t>ใน</w:t>
      </w:r>
      <w:r w:rsidRPr="00B13305">
        <w:rPr>
          <w:rFonts w:ascii="TH SarabunPSK" w:hAnsi="TH SarabunPSK" w:cs="TH SarabunPSK"/>
          <w:b/>
          <w:bCs/>
          <w:sz w:val="32"/>
          <w:szCs w:val="32"/>
          <w:cs/>
        </w:rPr>
        <w:t>ระดับต่ำ</w:t>
      </w:r>
    </w:p>
    <w:p w:rsidR="00A86B04" w:rsidRDefault="00A86B04" w:rsidP="00A86B04">
      <w:pPr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330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86B04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A86B0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ความเสี่ยงด้านการแพร่ขยายอาวุธที่มีอานุภาพทำลายล้างสูง</w:t>
      </w:r>
      <w:r w:rsidRPr="00A86B04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A86B04">
        <w:rPr>
          <w:rFonts w:ascii="TH SarabunPSK" w:hAnsi="TH SarabunPSK" w:cs="TH SarabunPSK"/>
          <w:sz w:val="32"/>
          <w:szCs w:val="32"/>
          <w:cs/>
        </w:rPr>
        <w:t>ธุรกิจค้ารถยนต์ ถูกใช้</w:t>
      </w:r>
      <w:r w:rsidRPr="00A86B04">
        <w:rPr>
          <w:rFonts w:ascii="TH SarabunPSK" w:eastAsia="Arial Unicode MS" w:hAnsi="TH SarabunPSK" w:cs="TH SarabunPSK"/>
          <w:sz w:val="32"/>
          <w:szCs w:val="32"/>
          <w:cs/>
        </w:rPr>
        <w:t>เป็นช่องทาง</w:t>
      </w:r>
      <w:r w:rsidRPr="00B13305">
        <w:rPr>
          <w:rFonts w:ascii="TH SarabunPSK" w:eastAsia="Arial Unicode MS" w:hAnsi="TH SarabunPSK" w:cs="TH SarabunPSK"/>
          <w:sz w:val="32"/>
          <w:szCs w:val="32"/>
          <w:cs/>
        </w:rPr>
        <w:t xml:space="preserve">ในการแพร่ขยายอาวุธที่มีอานุภาพทำลายล้างสูง </w:t>
      </w:r>
      <w:r w:rsidRPr="00B13305">
        <w:rPr>
          <w:rFonts w:ascii="TH SarabunPSK" w:hAnsi="TH SarabunPSK" w:cs="TH SarabunPSK"/>
          <w:sz w:val="32"/>
          <w:szCs w:val="32"/>
          <w:cs/>
        </w:rPr>
        <w:t>ใน</w:t>
      </w:r>
      <w:r w:rsidRPr="00B13305">
        <w:rPr>
          <w:rFonts w:ascii="TH SarabunPSK" w:hAnsi="TH SarabunPSK" w:cs="TH SarabunPSK"/>
          <w:b/>
          <w:bCs/>
          <w:sz w:val="32"/>
          <w:szCs w:val="32"/>
          <w:cs/>
        </w:rPr>
        <w:t>ระดับต่ำ</w:t>
      </w:r>
    </w:p>
    <w:p w:rsidR="00A86B04" w:rsidRPr="009A76D0" w:rsidRDefault="00A86B04" w:rsidP="00A86B04">
      <w:pPr>
        <w:spacing w:before="240" w:after="0" w:line="204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9A76D0">
        <w:rPr>
          <w:rFonts w:ascii="TH SarabunPSK" w:eastAsia="Arial Unicode MS" w:hAnsi="TH SarabunPSK" w:cs="TH SarabunPSK"/>
          <w:sz w:val="32"/>
          <w:szCs w:val="32"/>
          <w:cs/>
        </w:rPr>
        <w:t xml:space="preserve">ทั้งนี้ ในการประเมินและบริหารความเสี่ยงในแต่ละครั้ง บริษัทจะใช้ข้อมูลที่เป็นปัจจุบัน </w:t>
      </w:r>
      <w:r w:rsidR="0056566B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9A76D0">
        <w:rPr>
          <w:rFonts w:ascii="TH SarabunPSK" w:eastAsia="Arial Unicode MS" w:hAnsi="TH SarabunPSK" w:cs="TH SarabunPSK"/>
          <w:sz w:val="32"/>
          <w:szCs w:val="32"/>
          <w:cs/>
        </w:rPr>
        <w:t>เพื่อให้ผลการประเมินและบริหารความเสี่ยงมีความถูกต้องและครบถ้วน ซึ่งหลังจากประเมินความเสี่ยงและบริหารความเสี่ยงแล้ว บริษัท จะกำหนด</w:t>
      </w:r>
      <w:r w:rsidRPr="009A76D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มาตรการและวิธีการในการบรรเทาความเสี่ยงด้านการฟอกเงินและ</w:t>
      </w:r>
      <w:r w:rsidR="0056566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56566B">
        <w:rPr>
          <w:rFonts w:ascii="TH SarabunPSK" w:eastAsia="Arial Unicode MS" w:hAnsi="TH SarabunPSK" w:cs="TH SarabunPSK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 และหากสำนักงาน ปปง.</w:t>
      </w:r>
      <w:r w:rsidRPr="009A76D0">
        <w:rPr>
          <w:rFonts w:ascii="TH SarabunPSK" w:eastAsia="Arial Unicode MS" w:hAnsi="TH SarabunPSK" w:cs="TH SarabunPSK"/>
          <w:sz w:val="32"/>
          <w:szCs w:val="32"/>
          <w:cs/>
        </w:rPr>
        <w:t xml:space="preserve"> ร้องขอผลการประเมินและบริหารความเสี่ยงด้านการ</w:t>
      </w:r>
      <w:bookmarkStart w:id="0" w:name="_GoBack"/>
      <w:bookmarkEnd w:id="0"/>
      <w:r w:rsidRPr="009A76D0">
        <w:rPr>
          <w:rFonts w:ascii="TH SarabunPSK" w:eastAsia="Arial Unicode MS" w:hAnsi="TH SarabunPSK" w:cs="TH SarabunPSK"/>
          <w:sz w:val="32"/>
          <w:szCs w:val="32"/>
          <w:cs/>
        </w:rPr>
        <w:t>ฟอกเงินและการสนับสนุนทางการเงิน</w:t>
      </w:r>
      <w:r w:rsidR="0056566B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9A76D0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แก่การก่อการร้ายภายในองค์กรของบริษัท บริษัทจะดำเนินการจัดส่งให้สำนักงาน ปปง. ทันที</w:t>
      </w:r>
    </w:p>
    <w:p w:rsidR="00616219" w:rsidRPr="00402B2B" w:rsidRDefault="00616219" w:rsidP="000A02D5">
      <w:pPr>
        <w:tabs>
          <w:tab w:val="left" w:pos="1276"/>
          <w:tab w:val="left" w:pos="1843"/>
        </w:tabs>
        <w:spacing w:after="0" w:line="22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</w:p>
    <w:p w:rsidR="00A86B04" w:rsidRDefault="00A86B04">
      <w:pPr>
        <w:rPr>
          <w:rFonts w:ascii="TH SarabunPSK" w:eastAsia="Arial Unicode MS" w:hAnsi="TH SarabunPSK" w:cs="TH SarabunPSK"/>
          <w:b/>
          <w:bCs/>
          <w:sz w:val="8"/>
          <w:szCs w:val="8"/>
          <w:cs/>
        </w:rPr>
      </w:pPr>
      <w:r>
        <w:rPr>
          <w:rFonts w:ascii="TH SarabunPSK" w:eastAsia="Arial Unicode MS" w:hAnsi="TH SarabunPSK" w:cs="TH SarabunPSK"/>
          <w:b/>
          <w:bCs/>
          <w:sz w:val="8"/>
          <w:szCs w:val="8"/>
          <w:cs/>
        </w:rPr>
        <w:br w:type="page"/>
      </w:r>
    </w:p>
    <w:p w:rsidR="00120725" w:rsidRPr="00402B2B" w:rsidRDefault="00120725" w:rsidP="00A11806">
      <w:pPr>
        <w:spacing w:before="120" w:after="0" w:line="211" w:lineRule="auto"/>
        <w:ind w:firstLine="720"/>
        <w:rPr>
          <w:rFonts w:ascii="TH SarabunPSK" w:eastAsia="Arial Unicode MS" w:hAnsi="TH SarabunPSK" w:cs="TH SarabunPSK"/>
          <w:b/>
          <w:bCs/>
          <w:sz w:val="8"/>
          <w:szCs w:val="8"/>
        </w:rPr>
      </w:pPr>
    </w:p>
    <w:p w:rsidR="00E3500C" w:rsidRPr="00402B2B" w:rsidRDefault="00E3500C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120725" w:rsidRPr="00402B2B" w:rsidRDefault="00120725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</w:rPr>
      </w:pPr>
      <w:r w:rsidRPr="00402B2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สรุปผลการประเมินความเสี่ยงภายในองค์กร ในภาพรวม</w:t>
      </w:r>
    </w:p>
    <w:p w:rsidR="00120725" w:rsidRPr="00402B2B" w:rsidRDefault="00120725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color w:val="FF0000"/>
          <w:sz w:val="16"/>
          <w:szCs w:val="16"/>
          <w:u w:val="singl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977"/>
      </w:tblGrid>
      <w:tr w:rsidR="00120725" w:rsidRPr="00402B2B" w:rsidTr="00E3500C">
        <w:trPr>
          <w:trHeight w:val="485"/>
          <w:jc w:val="center"/>
        </w:trPr>
        <w:tc>
          <w:tcPr>
            <w:tcW w:w="5949" w:type="dxa"/>
            <w:vMerge w:val="restart"/>
            <w:shd w:val="clear" w:color="auto" w:fill="BFBFBF" w:themeFill="background1" w:themeFillShade="BF"/>
            <w:vAlign w:val="center"/>
          </w:tcPr>
          <w:p w:rsidR="00120725" w:rsidRPr="00402B2B" w:rsidRDefault="00120725" w:rsidP="00903425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ปัจจัยที่ใช้ใน</w:t>
            </w:r>
            <w:r w:rsidRPr="00402B2B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การประเมินความเสี่ยงฯ 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20725" w:rsidRPr="00402B2B" w:rsidRDefault="00120725" w:rsidP="00903425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ผลการประเมิน/ระดับ</w:t>
            </w:r>
          </w:p>
          <w:p w:rsidR="00120725" w:rsidRPr="00402B2B" w:rsidRDefault="00120725" w:rsidP="00903425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120725" w:rsidRPr="00402B2B" w:rsidTr="00E3500C">
        <w:trPr>
          <w:trHeight w:val="568"/>
          <w:jc w:val="center"/>
        </w:trPr>
        <w:tc>
          <w:tcPr>
            <w:tcW w:w="5949" w:type="dxa"/>
            <w:vMerge/>
          </w:tcPr>
          <w:p w:rsidR="00120725" w:rsidRPr="00402B2B" w:rsidRDefault="00120725" w:rsidP="00903425">
            <w:pPr>
              <w:spacing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120725" w:rsidRPr="00402B2B" w:rsidRDefault="00120725" w:rsidP="00903425">
            <w:pPr>
              <w:spacing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725" w:rsidRPr="00402B2B" w:rsidTr="008C3FFB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402B2B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02B2B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ปัจจัยความเสี่ยงเกี่ยวกับลูกค้า</w:t>
            </w:r>
          </w:p>
        </w:tc>
        <w:tc>
          <w:tcPr>
            <w:tcW w:w="2977" w:type="dxa"/>
            <w:vAlign w:val="center"/>
          </w:tcPr>
          <w:p w:rsidR="00120725" w:rsidRPr="00402B2B" w:rsidRDefault="008C3FFB" w:rsidP="008C3FFB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02B2B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  <w:t>สูง/ปานกลาง/ต่ำ</w:t>
            </w:r>
          </w:p>
        </w:tc>
      </w:tr>
      <w:tr w:rsidR="00120725" w:rsidRPr="00402B2B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402B2B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02B2B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ปัจจัยความเสี่ยงเกี่ยวกับพื้นที่หรือประเทศ</w:t>
            </w:r>
          </w:p>
        </w:tc>
        <w:tc>
          <w:tcPr>
            <w:tcW w:w="2977" w:type="dxa"/>
          </w:tcPr>
          <w:p w:rsidR="00120725" w:rsidRPr="00402B2B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120725" w:rsidRPr="00402B2B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402B2B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E3500C" w:rsidRPr="00402B2B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 </w:t>
            </w:r>
            <w:r w:rsidRPr="00402B2B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ปัจจัยความความเสี่ยงเกี่ยวกับผลิตภัณฑ์ บริการ</w:t>
            </w:r>
            <w:r w:rsidRPr="00402B2B">
              <w:rPr>
                <w:rFonts w:ascii="TH SarabunPSK" w:eastAsia="Arial Unicode MS" w:hAnsi="TH SarabunPSK" w:cs="TH SarabunPSK"/>
                <w:spacing w:val="-22"/>
                <w:sz w:val="32"/>
                <w:szCs w:val="32"/>
                <w:cs/>
              </w:rPr>
              <w:t xml:space="preserve"> </w:t>
            </w:r>
            <w:r w:rsidR="0019607D" w:rsidRPr="00402B2B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ลักษณะการทำธุรกรรม</w:t>
            </w:r>
          </w:p>
        </w:tc>
        <w:tc>
          <w:tcPr>
            <w:tcW w:w="2977" w:type="dxa"/>
          </w:tcPr>
          <w:p w:rsidR="00120725" w:rsidRPr="00402B2B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120725" w:rsidRPr="00402B2B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402B2B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>4. ปัจจัยความความเสี่ยงเกี่ยวกับช่องทางการให้บริการ</w:t>
            </w:r>
          </w:p>
        </w:tc>
        <w:tc>
          <w:tcPr>
            <w:tcW w:w="2977" w:type="dxa"/>
          </w:tcPr>
          <w:p w:rsidR="00120725" w:rsidRPr="00402B2B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120725" w:rsidRPr="00402B2B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402B2B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E3500C" w:rsidRPr="00402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ผลการประเมินและบริหารความเสี่ยงตามรายงานการประเมิน</w:t>
            </w:r>
            <w:r w:rsidR="0019607D" w:rsidRPr="00402B2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02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ความเสี่ยงด้าน </w:t>
            </w:r>
            <w:r w:rsidRPr="00402B2B">
              <w:rPr>
                <w:rFonts w:ascii="TH SarabunPSK" w:hAnsi="TH SarabunPSK" w:cs="TH SarabunPSK"/>
                <w:sz w:val="32"/>
                <w:szCs w:val="32"/>
                <w:lang w:val="en-GB"/>
              </w:rPr>
              <w:t>ML</w:t>
            </w:r>
            <w:r w:rsidRPr="00402B2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 w:rsidRPr="00402B2B">
              <w:rPr>
                <w:rFonts w:ascii="TH SarabunPSK" w:hAnsi="TH SarabunPSK" w:cs="TH SarabunPSK"/>
                <w:sz w:val="32"/>
                <w:szCs w:val="32"/>
                <w:lang w:val="en-GB"/>
              </w:rPr>
              <w:t>TPF</w:t>
            </w:r>
            <w:r w:rsidRPr="00402B2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ระดับชาติ (</w:t>
            </w:r>
            <w:r w:rsidRPr="00402B2B">
              <w:rPr>
                <w:rFonts w:ascii="TH SarabunPSK" w:hAnsi="TH SarabunPSK" w:cs="TH SarabunPSK"/>
                <w:sz w:val="32"/>
                <w:szCs w:val="32"/>
                <w:lang w:val="en-GB"/>
              </w:rPr>
              <w:t>NRA</w:t>
            </w:r>
            <w:r w:rsidRPr="00402B2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977" w:type="dxa"/>
          </w:tcPr>
          <w:p w:rsidR="00120725" w:rsidRPr="00402B2B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02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003BE2" w:rsidRPr="00402B2B" w:rsidRDefault="00003BE2" w:rsidP="00F06935">
      <w:pPr>
        <w:rPr>
          <w:rFonts w:ascii="TH SarabunPSK" w:hAnsi="TH SarabunPSK" w:cs="TH SarabunPSK"/>
        </w:rPr>
      </w:pPr>
    </w:p>
    <w:p w:rsidR="00B119FE" w:rsidRPr="00402B2B" w:rsidRDefault="00B119FE" w:rsidP="00B119FE">
      <w:pPr>
        <w:tabs>
          <w:tab w:val="left" w:pos="993"/>
        </w:tabs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119FE" w:rsidRPr="00402B2B" w:rsidRDefault="00B119FE" w:rsidP="00B119F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 ผู้ประเมิน</w:t>
      </w:r>
    </w:p>
    <w:p w:rsidR="00B119FE" w:rsidRPr="00402B2B" w:rsidRDefault="00B119FE" w:rsidP="00B119F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02B2B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</w:t>
      </w:r>
    </w:p>
    <w:p w:rsidR="00B119FE" w:rsidRPr="00402B2B" w:rsidRDefault="00B119FE" w:rsidP="00B119FE">
      <w:pPr>
        <w:jc w:val="right"/>
        <w:rPr>
          <w:rFonts w:ascii="TH SarabunPSK" w:hAnsi="TH SarabunPSK" w:cs="TH SarabunPSK"/>
        </w:rPr>
      </w:pPr>
      <w:r w:rsidRPr="00402B2B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...........................................................................</w:t>
      </w:r>
    </w:p>
    <w:sectPr w:rsidR="00B119FE" w:rsidRPr="00402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New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7A"/>
    <w:rsid w:val="00001709"/>
    <w:rsid w:val="00003BE2"/>
    <w:rsid w:val="00087204"/>
    <w:rsid w:val="000A02D5"/>
    <w:rsid w:val="000D197E"/>
    <w:rsid w:val="000E61B4"/>
    <w:rsid w:val="00107A98"/>
    <w:rsid w:val="00120725"/>
    <w:rsid w:val="00166A68"/>
    <w:rsid w:val="0019607D"/>
    <w:rsid w:val="001F353D"/>
    <w:rsid w:val="00203D38"/>
    <w:rsid w:val="002666BD"/>
    <w:rsid w:val="002D6475"/>
    <w:rsid w:val="00305B41"/>
    <w:rsid w:val="0030600D"/>
    <w:rsid w:val="003226E6"/>
    <w:rsid w:val="003272AD"/>
    <w:rsid w:val="0033191C"/>
    <w:rsid w:val="0035230F"/>
    <w:rsid w:val="003E1E83"/>
    <w:rsid w:val="00402B2B"/>
    <w:rsid w:val="00437DE9"/>
    <w:rsid w:val="00444FDD"/>
    <w:rsid w:val="004534EA"/>
    <w:rsid w:val="00471E79"/>
    <w:rsid w:val="004B2D29"/>
    <w:rsid w:val="004C5AA8"/>
    <w:rsid w:val="004E57F1"/>
    <w:rsid w:val="00506FEA"/>
    <w:rsid w:val="00553BAF"/>
    <w:rsid w:val="00562D52"/>
    <w:rsid w:val="0056566B"/>
    <w:rsid w:val="005E4F2A"/>
    <w:rsid w:val="0060522F"/>
    <w:rsid w:val="00616219"/>
    <w:rsid w:val="00641D0D"/>
    <w:rsid w:val="00660C77"/>
    <w:rsid w:val="006C7FF3"/>
    <w:rsid w:val="006D1146"/>
    <w:rsid w:val="006F2208"/>
    <w:rsid w:val="00703431"/>
    <w:rsid w:val="007111C2"/>
    <w:rsid w:val="007C784D"/>
    <w:rsid w:val="007D78AC"/>
    <w:rsid w:val="007F6F00"/>
    <w:rsid w:val="008C3FFB"/>
    <w:rsid w:val="008E327A"/>
    <w:rsid w:val="0095534C"/>
    <w:rsid w:val="00976273"/>
    <w:rsid w:val="009A7F5F"/>
    <w:rsid w:val="009E39EF"/>
    <w:rsid w:val="00A11806"/>
    <w:rsid w:val="00A86B04"/>
    <w:rsid w:val="00AF402A"/>
    <w:rsid w:val="00B119FE"/>
    <w:rsid w:val="00B52A43"/>
    <w:rsid w:val="00B64E4F"/>
    <w:rsid w:val="00BA0FD4"/>
    <w:rsid w:val="00BD028B"/>
    <w:rsid w:val="00BE667A"/>
    <w:rsid w:val="00C90BF5"/>
    <w:rsid w:val="00D632BD"/>
    <w:rsid w:val="00E3500C"/>
    <w:rsid w:val="00EC2DCB"/>
    <w:rsid w:val="00EF4D8F"/>
    <w:rsid w:val="00F06935"/>
    <w:rsid w:val="00F202BA"/>
    <w:rsid w:val="00F2308A"/>
    <w:rsid w:val="00F411D0"/>
    <w:rsid w:val="00F64237"/>
    <w:rsid w:val="00F71645"/>
    <w:rsid w:val="00F9411A"/>
    <w:rsid w:val="00FB188C"/>
    <w:rsid w:val="00FB2489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E4372-280C-4809-BF33-4DE57762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29"/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7A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59"/>
    <w:rsid w:val="00BE667A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5B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01">
    <w:name w:val="fontstyle01"/>
    <w:basedOn w:val="DefaultParagraphFont"/>
    <w:rsid w:val="00EC2DCB"/>
    <w:rPr>
      <w:rFonts w:ascii="CordiaNew" w:hAnsi="CordiaNew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506FEA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7F63-92E7-4ECC-9B2C-0C9B07E3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นางสาววรารักษ์ ชมมณี</dc:creator>
  <cp:keywords/>
  <dc:description/>
  <cp:lastModifiedBy>นางสาววรารักษ์ ชมมณี</cp:lastModifiedBy>
  <cp:revision>8</cp:revision>
  <cp:lastPrinted>2025-06-26T09:02:00Z</cp:lastPrinted>
  <dcterms:created xsi:type="dcterms:W3CDTF">2025-03-17T07:53:00Z</dcterms:created>
  <dcterms:modified xsi:type="dcterms:W3CDTF">2025-06-26T09:03:00Z</dcterms:modified>
</cp:coreProperties>
</file>